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294625B" w:rsidR="00C86989" w:rsidRDefault="008C5B04" w:rsidP="008C5B0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55120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218E31CD" w14:textId="23B66692" w:rsidR="008C5B04" w:rsidRPr="008C5B04" w:rsidRDefault="0090565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Taxation Administration </w:t>
      </w:r>
      <w:r w:rsidR="008C5B04" w:rsidRPr="008C5B04">
        <w:rPr>
          <w:rFonts w:asciiTheme="minorHAnsi" w:hAnsiTheme="minorHAnsi" w:cs="Calibri"/>
          <w:b/>
          <w:bCs/>
        </w:rPr>
        <w:t>Act</w:t>
      </w:r>
      <w:r>
        <w:rPr>
          <w:rFonts w:asciiTheme="minorHAnsi" w:hAnsiTheme="minorHAnsi" w:cs="Calibri"/>
          <w:b/>
          <w:bCs/>
        </w:rPr>
        <w:t xml:space="preserve"> 1996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A7DECE6" w:rsidR="00255120" w:rsidRPr="00255120" w:rsidRDefault="009E7A4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5C53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8484726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A3DEA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AA4C085" w14:textId="77777777" w:rsidR="00ED30B7" w:rsidRPr="008916CB" w:rsidRDefault="00ED30B7" w:rsidP="00ED30B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8916CB">
        <w:rPr>
          <w:rFonts w:cs="Calibri"/>
          <w:b/>
        </w:rPr>
        <w:t>[</w:t>
      </w:r>
      <w:r w:rsidRPr="008916CB">
        <w:rPr>
          <w:rFonts w:cs="Calibri"/>
          <w:b/>
          <w:i/>
        </w:rPr>
        <w:t>FULL NAME</w:t>
      </w:r>
      <w:r w:rsidRPr="008916CB">
        <w:rPr>
          <w:rFonts w:cs="Calibri"/>
          <w:b/>
        </w:rPr>
        <w:t>]</w:t>
      </w:r>
    </w:p>
    <w:p w14:paraId="3D7A805D" w14:textId="77777777" w:rsidR="00ED30B7" w:rsidRPr="008916CB" w:rsidRDefault="00ED30B7" w:rsidP="00ED30B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916CB">
        <w:rPr>
          <w:rFonts w:cs="Calibri"/>
          <w:b/>
        </w:rPr>
        <w:t>Applicant</w:t>
      </w:r>
    </w:p>
    <w:p w14:paraId="1F9B45A8" w14:textId="77777777" w:rsidR="00ED30B7" w:rsidRDefault="00ED30B7" w:rsidP="00ED30B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ED30B7" w14:paraId="05E88F4C" w14:textId="77777777" w:rsidTr="00ED30B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F7A7" w14:textId="77777777" w:rsidR="00ED30B7" w:rsidRDefault="00ED30B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ED30B7" w14:paraId="57C4C416" w14:textId="77777777" w:rsidTr="00ED30B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CE10FA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33C5" w14:textId="77777777" w:rsidR="00ED30B7" w:rsidRDefault="00ED30B7">
            <w:pPr>
              <w:keepNext/>
              <w:rPr>
                <w:rFonts w:cs="Arial"/>
                <w:lang w:val="en-US"/>
              </w:rPr>
            </w:pPr>
          </w:p>
        </w:tc>
      </w:tr>
      <w:tr w:rsidR="00ED30B7" w14:paraId="42377EC4" w14:textId="77777777" w:rsidTr="00ED30B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70AF" w14:textId="77777777" w:rsidR="00ED30B7" w:rsidRDefault="00ED30B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6CA9B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ED30B7" w14:paraId="1A2A41AA" w14:textId="77777777" w:rsidTr="00ED30B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F29A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5F023" w14:textId="77777777" w:rsidR="00ED30B7" w:rsidRDefault="00ED30B7">
            <w:pPr>
              <w:keepNext/>
              <w:rPr>
                <w:rFonts w:cs="Arial"/>
                <w:lang w:val="en-US"/>
              </w:rPr>
            </w:pPr>
          </w:p>
        </w:tc>
      </w:tr>
      <w:tr w:rsidR="00ED30B7" w14:paraId="274CC3B9" w14:textId="77777777" w:rsidTr="00ED30B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CD27" w14:textId="77777777" w:rsidR="00ED30B7" w:rsidRDefault="00ED30B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C4C6C" w14:textId="77777777" w:rsidR="00ED30B7" w:rsidRDefault="00ED30B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D30B7" w14:paraId="41BB002A" w14:textId="77777777" w:rsidTr="00ED30B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46AE" w14:textId="77777777" w:rsidR="00ED30B7" w:rsidRDefault="00ED30B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D5D12" w14:textId="77777777" w:rsidR="00ED30B7" w:rsidRDefault="00ED30B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86FE7" w14:textId="77777777" w:rsidR="00ED30B7" w:rsidRDefault="00ED30B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9CE35" w14:textId="77777777" w:rsidR="00ED30B7" w:rsidRDefault="00ED30B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88033" w14:textId="77777777" w:rsidR="00ED30B7" w:rsidRDefault="00ED30B7">
            <w:pPr>
              <w:keepNext/>
              <w:rPr>
                <w:rFonts w:cs="Arial"/>
                <w:lang w:val="en-US"/>
              </w:rPr>
            </w:pPr>
          </w:p>
        </w:tc>
      </w:tr>
      <w:tr w:rsidR="00ED30B7" w14:paraId="1E8A4349" w14:textId="77777777" w:rsidTr="00ED30B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2AB8" w14:textId="77777777" w:rsidR="00ED30B7" w:rsidRDefault="00ED30B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D980D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F284E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9FC4B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0BFC9" w14:textId="77777777" w:rsidR="00ED30B7" w:rsidRDefault="00ED30B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885F544" w14:textId="77777777" w:rsidR="00A81CE8" w:rsidRPr="00255120" w:rsidRDefault="00A81CE8" w:rsidP="008916CB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DE1A88">
        <w:tc>
          <w:tcPr>
            <w:tcW w:w="10457" w:type="dxa"/>
          </w:tcPr>
          <w:p w14:paraId="7E03C3DC" w14:textId="75A6FDEE" w:rsidR="00EB35CF" w:rsidRDefault="008C1986" w:rsidP="008916CB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8916C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0B4A411" w14:textId="77777777" w:rsidR="00905657" w:rsidRPr="00905657" w:rsidRDefault="00905657" w:rsidP="008916CB">
            <w:pPr>
              <w:spacing w:after="120" w:line="276" w:lineRule="auto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>An Application has been made on [</w:t>
            </w:r>
            <w:r w:rsidRPr="00905657">
              <w:rPr>
                <w:rFonts w:cs="Arial"/>
                <w:i/>
              </w:rPr>
              <w:t>date</w:t>
            </w:r>
            <w:r w:rsidRPr="00905657">
              <w:rPr>
                <w:rFonts w:cs="Arial"/>
              </w:rPr>
              <w:t>] by the Commissioner, [</w:t>
            </w:r>
            <w:r w:rsidRPr="00905657">
              <w:rPr>
                <w:rFonts w:cs="Arial"/>
                <w:i/>
              </w:rPr>
              <w:t>name and/or office</w:t>
            </w:r>
            <w:r w:rsidRPr="00905657">
              <w:rPr>
                <w:rFonts w:cs="Arial"/>
              </w:rPr>
              <w:t xml:space="preserve">] under section 72(1) of the </w:t>
            </w:r>
            <w:r w:rsidRPr="00905657">
              <w:rPr>
                <w:rFonts w:cs="Arial"/>
                <w:i/>
              </w:rPr>
              <w:t>Taxation Administration Act 1996</w:t>
            </w:r>
            <w:r w:rsidRPr="00905657">
              <w:rPr>
                <w:rFonts w:cs="Arial"/>
              </w:rPr>
              <w:t xml:space="preserve"> for the issue of a warrant.</w:t>
            </w:r>
          </w:p>
          <w:p w14:paraId="08321385" w14:textId="0AC36AF3" w:rsidR="00905657" w:rsidRPr="00905657" w:rsidRDefault="00905657" w:rsidP="008916CB">
            <w:pPr>
              <w:spacing w:after="120" w:line="276" w:lineRule="auto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905657">
              <w:rPr>
                <w:rFonts w:cs="Arial"/>
              </w:rPr>
              <w:t>agistrate is satisfied by information given by affidavit or other sworn evidence that:</w:t>
            </w:r>
          </w:p>
          <w:p w14:paraId="04237F35" w14:textId="77777777" w:rsidR="00905657" w:rsidRPr="00905657" w:rsidRDefault="00905657" w:rsidP="008916CB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>an officer authorised by the Commissioner seeks to</w:t>
            </w:r>
          </w:p>
          <w:p w14:paraId="60D3B5F8" w14:textId="77777777" w:rsidR="00905657" w:rsidRPr="00905657" w:rsidRDefault="00905657" w:rsidP="008916CB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>enter the premises below, using such force as is necessary for the purpose</w:t>
            </w:r>
          </w:p>
          <w:p w14:paraId="34F8E142" w14:textId="77777777" w:rsidR="00905657" w:rsidRPr="00905657" w:rsidRDefault="00905657" w:rsidP="008916CB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>search the premises described below and to break open and search anything in those premises in which an instrument or record may be stored or concealed</w:t>
            </w:r>
          </w:p>
          <w:p w14:paraId="4AE6659C" w14:textId="77777777" w:rsidR="00905657" w:rsidRPr="00905657" w:rsidRDefault="00905657" w:rsidP="008916CB">
            <w:pPr>
              <w:pStyle w:val="ListParagraph"/>
              <w:numPr>
                <w:ilvl w:val="1"/>
                <w:numId w:val="11"/>
              </w:numPr>
              <w:spacing w:after="120" w:line="276" w:lineRule="auto"/>
              <w:ind w:left="877"/>
              <w:contextualSpacing w:val="0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>to seize and remove, on behalf of the Commissioner, any instrument or record that appears to be relevant to the assessment or payment of tax.</w:t>
            </w:r>
          </w:p>
          <w:p w14:paraId="03D4FA33" w14:textId="77777777" w:rsidR="00905657" w:rsidRPr="00905657" w:rsidRDefault="00905657" w:rsidP="008916CB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>there is a reasonable ground for suspecting that an instrument or record relevant to the assessment of payment of tax may be found in the premises below.</w:t>
            </w:r>
          </w:p>
          <w:p w14:paraId="3B5143C1" w14:textId="5D46C26B" w:rsidR="005F3B36" w:rsidRPr="00905657" w:rsidRDefault="00905657" w:rsidP="008916CB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451" w:hanging="357"/>
              <w:contextualSpacing w:val="0"/>
              <w:jc w:val="left"/>
              <w:rPr>
                <w:rFonts w:cs="Arial"/>
              </w:rPr>
            </w:pPr>
            <w:r w:rsidRPr="00905657">
              <w:rPr>
                <w:rFonts w:cs="Arial"/>
              </w:rPr>
              <w:t xml:space="preserve">there are proper grounds for the issue of the warrant under section 72(1) of the </w:t>
            </w:r>
            <w:r w:rsidRPr="00905657">
              <w:rPr>
                <w:rFonts w:cs="Arial"/>
                <w:i/>
              </w:rPr>
              <w:t>Taxation Administration Act 1996.</w:t>
            </w:r>
          </w:p>
        </w:tc>
      </w:tr>
    </w:tbl>
    <w:p w14:paraId="74DB7DE3" w14:textId="77777777" w:rsidR="00A81CE8" w:rsidRDefault="00A81CE8" w:rsidP="008916CB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8916CB">
            <w:pPr>
              <w:keepNext/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5DA45F03" w14:textId="54CF7129" w:rsidR="000F7743" w:rsidRPr="000F7743" w:rsidRDefault="000F7743" w:rsidP="008916C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="00905657">
              <w:rPr>
                <w:rFonts w:cs="Arial"/>
              </w:rPr>
              <w:t>[</w:t>
            </w:r>
            <w:r w:rsidR="00905657" w:rsidRPr="000F7743">
              <w:rPr>
                <w:rFonts w:cs="Arial"/>
                <w:i/>
              </w:rPr>
              <w:t xml:space="preserve">the person and persons to whom this </w:t>
            </w:r>
            <w:r w:rsidR="00905657">
              <w:rPr>
                <w:rFonts w:cs="Arial"/>
                <w:i/>
              </w:rPr>
              <w:t>w</w:t>
            </w:r>
            <w:r w:rsidR="00905657" w:rsidRPr="000F7743">
              <w:rPr>
                <w:rFonts w:cs="Arial"/>
                <w:i/>
              </w:rPr>
              <w:t>arrant addresses/[and] any [accompanying] police officer/other</w:t>
            </w:r>
            <w:r w:rsidR="00905657" w:rsidRPr="000F7743">
              <w:rPr>
                <w:rFonts w:cs="Arial"/>
              </w:rPr>
              <w:t xml:space="preserve">] </w:t>
            </w:r>
            <w:r w:rsidRPr="000F7743">
              <w:rPr>
                <w:rFonts w:cs="Arial"/>
              </w:rPr>
              <w:t>to:</w:t>
            </w:r>
          </w:p>
          <w:p w14:paraId="5B8AD773" w14:textId="4678020D" w:rsidR="008E65B0" w:rsidRPr="001260F5" w:rsidRDefault="008E65B0" w:rsidP="008916C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enter [</w:t>
            </w:r>
            <w:r w:rsidRPr="001260F5">
              <w:rPr>
                <w:rFonts w:cs="Arial"/>
                <w:i/>
              </w:rPr>
              <w:t xml:space="preserve">description of </w:t>
            </w:r>
            <w:r w:rsidR="008002F6">
              <w:rPr>
                <w:rFonts w:cs="Arial"/>
                <w:i/>
              </w:rPr>
              <w:t>premises, address</w:t>
            </w:r>
            <w:r w:rsidRPr="001260F5">
              <w:rPr>
                <w:rFonts w:cs="Arial"/>
              </w:rPr>
              <w:t>] [</w:t>
            </w:r>
            <w:r w:rsidRPr="001260F5">
              <w:rPr>
                <w:rFonts w:cs="Arial"/>
                <w:i/>
              </w:rPr>
              <w:t>for the purpose of [description of purpose]</w:t>
            </w:r>
            <w:r w:rsidRPr="001260F5">
              <w:rPr>
                <w:rFonts w:cs="Arial"/>
              </w:rPr>
              <w:t>].</w:t>
            </w:r>
          </w:p>
          <w:p w14:paraId="78782D3E" w14:textId="46BD141E" w:rsidR="008E65B0" w:rsidRPr="001260F5" w:rsidRDefault="008E65B0" w:rsidP="008916C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search [</w:t>
            </w:r>
            <w:r w:rsidRPr="001260F5">
              <w:rPr>
                <w:rFonts w:cs="Arial"/>
                <w:i/>
              </w:rPr>
              <w:t>description of premises, address</w:t>
            </w:r>
            <w:r w:rsidRPr="001260F5">
              <w:rPr>
                <w:rFonts w:cs="Arial"/>
              </w:rPr>
              <w:t xml:space="preserve">] </w:t>
            </w:r>
            <w:r w:rsidR="008002F6">
              <w:rPr>
                <w:rFonts w:cs="Arial"/>
              </w:rPr>
              <w:t xml:space="preserve">and break open search anything in those premises which an instrument or record may be concealed </w:t>
            </w:r>
            <w:r w:rsidR="008002F6" w:rsidRPr="00232898">
              <w:rPr>
                <w:rFonts w:cs="Arial"/>
              </w:rPr>
              <w:t xml:space="preserve">for </w:t>
            </w:r>
            <w:r w:rsidR="008002F6">
              <w:rPr>
                <w:rFonts w:cs="Arial"/>
              </w:rPr>
              <w:t>an instrument or record that appears to be relevant to the assessment or payment of tax</w:t>
            </w:r>
            <w:r w:rsidRPr="001260F5">
              <w:rPr>
                <w:rFonts w:cs="Arial"/>
              </w:rPr>
              <w:t>.</w:t>
            </w:r>
          </w:p>
          <w:p w14:paraId="4CC41FFA" w14:textId="2D94E4A4" w:rsidR="008E65B0" w:rsidRPr="001260F5" w:rsidRDefault="008E65B0" w:rsidP="008916C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seize [</w:t>
            </w:r>
            <w:r w:rsidRPr="001260F5">
              <w:rPr>
                <w:rFonts w:cs="Arial"/>
                <w:i/>
              </w:rPr>
              <w:t>and remove</w:t>
            </w:r>
            <w:r w:rsidRPr="001260F5">
              <w:rPr>
                <w:rFonts w:cs="Arial"/>
              </w:rPr>
              <w:t xml:space="preserve">] </w:t>
            </w:r>
            <w:r w:rsidR="008002F6">
              <w:rPr>
                <w:rFonts w:cs="Arial"/>
              </w:rPr>
              <w:t xml:space="preserve">on behalf of the Commissioner any instrument or record that appears to be relevant to the assessment or payment of tax found on or in </w:t>
            </w: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 xml:space="preserve">description of </w:t>
            </w:r>
            <w:r w:rsidR="008002F6">
              <w:rPr>
                <w:rFonts w:cs="Arial"/>
                <w:i/>
              </w:rPr>
              <w:t>premises, address</w:t>
            </w:r>
            <w:r w:rsidRPr="001260F5">
              <w:rPr>
                <w:rFonts w:cs="Arial"/>
              </w:rPr>
              <w:t>].</w:t>
            </w:r>
          </w:p>
          <w:p w14:paraId="59A1533F" w14:textId="5341CF8A" w:rsidR="008E65B0" w:rsidRPr="001260F5" w:rsidRDefault="008E65B0" w:rsidP="008916C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1260F5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583F979E" w14:textId="2789B33A" w:rsidR="00F913FF" w:rsidRDefault="00F913FF" w:rsidP="008916CB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5CC701E1" w:rsidR="000F7743" w:rsidRPr="000F7743" w:rsidRDefault="007150DA" w:rsidP="008916CB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6F120F9" w14:textId="37FEC55B" w:rsidR="000F7743" w:rsidRPr="001260F5" w:rsidRDefault="000F7743" w:rsidP="008916C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B8A9A31" w14:textId="523A3FC7" w:rsidR="000F7743" w:rsidRPr="001260F5" w:rsidRDefault="000F7743" w:rsidP="008916C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F4A2A4F" w14:textId="407C75F9" w:rsidR="000F7743" w:rsidRPr="001260F5" w:rsidRDefault="000F7743" w:rsidP="008916C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B45F0BE" w14:textId="5186CA1B" w:rsidR="000F7743" w:rsidRPr="001260F5" w:rsidRDefault="000F7743" w:rsidP="008916CB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3" w:hanging="425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737456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</w:t>
            </w:r>
            <w:r w:rsidR="007150DA" w:rsidRPr="001260F5">
              <w:rPr>
                <w:rFonts w:cs="Arial"/>
              </w:rPr>
              <w:t>.</w:t>
            </w:r>
          </w:p>
          <w:p w14:paraId="65316CE8" w14:textId="73075B1B" w:rsidR="000F7743" w:rsidRDefault="000F7743" w:rsidP="008916CB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7C3F05E1" w14:textId="656A8D81" w:rsidR="00E35159" w:rsidRPr="00E35159" w:rsidRDefault="00E35159" w:rsidP="008916CB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E9BDEA5" w14:textId="597258D0" w:rsidR="00EC6855" w:rsidRPr="000F7743" w:rsidRDefault="00953ED5" w:rsidP="008916CB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EC6855">
              <w:rPr>
                <w:rFonts w:cs="Arial"/>
              </w:rPr>
              <w:t>arrant expires on</w:t>
            </w:r>
            <w:r w:rsidR="008002F6">
              <w:rPr>
                <w:rFonts w:cs="Arial"/>
              </w:rPr>
              <w:t>:</w:t>
            </w:r>
            <w:r w:rsidR="00DB53F0" w:rsidRPr="003C12E7">
              <w:rPr>
                <w:rFonts w:cs="Arial"/>
              </w:rPr>
              <w:t xml:space="preserve"> [</w:t>
            </w:r>
            <w:r w:rsidR="00DB53F0" w:rsidRPr="003C12E7">
              <w:rPr>
                <w:rFonts w:cs="Arial"/>
                <w:i/>
              </w:rPr>
              <w:t>date</w:t>
            </w:r>
            <w:r w:rsidR="00DB53F0" w:rsidRPr="003C12E7">
              <w:rPr>
                <w:rFonts w:cs="Arial"/>
              </w:rPr>
              <w:t>]</w:t>
            </w:r>
          </w:p>
        </w:tc>
      </w:tr>
    </w:tbl>
    <w:p w14:paraId="3AC9489F" w14:textId="2839382D" w:rsidR="00B31E39" w:rsidRDefault="00B31E39" w:rsidP="008916C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3284CA9C" w:rsidR="001260F5" w:rsidRPr="00F8050E" w:rsidRDefault="00F8050E" w:rsidP="008916C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8916CB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55F4088B" w:rsidR="001260F5" w:rsidRPr="00445BC2" w:rsidRDefault="001260F5" w:rsidP="008916CB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2374C9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8916C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FEF4F0B" w14:textId="77777777" w:rsidR="001345C2" w:rsidRPr="0008623A" w:rsidRDefault="001345C2" w:rsidP="008916CB">
      <w:pPr>
        <w:spacing w:line="276" w:lineRule="auto"/>
        <w:rPr>
          <w:rFonts w:asciiTheme="minorHAnsi" w:hAnsiTheme="minorHAnsi" w:cs="Calibri"/>
        </w:rPr>
      </w:pPr>
    </w:p>
    <w:sectPr w:rsidR="001345C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A08EB9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21C66">
      <w:rPr>
        <w:lang w:val="en-US"/>
      </w:rPr>
      <w:t>10</w:t>
    </w:r>
    <w:r w:rsidR="004E02AD">
      <w:rPr>
        <w:lang w:val="en-US"/>
      </w:rPr>
      <w:t>1</w:t>
    </w:r>
    <w:r w:rsidR="00DB4BDA">
      <w:rPr>
        <w:lang w:val="en-US"/>
      </w:rPr>
      <w:t>C</w:t>
    </w:r>
    <w:r w:rsidR="005133F7">
      <w:rPr>
        <w:lang w:val="en-US"/>
      </w:rPr>
      <w:t>L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342C28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21C66">
      <w:rPr>
        <w:lang w:val="en-US"/>
      </w:rPr>
      <w:t>10</w:t>
    </w:r>
    <w:r w:rsidR="004E02AD">
      <w:rPr>
        <w:lang w:val="en-US"/>
      </w:rPr>
      <w:t>1</w:t>
    </w:r>
    <w:r w:rsidR="00DB4BDA">
      <w:rPr>
        <w:lang w:val="en-US"/>
      </w:rPr>
      <w:t>C</w:t>
    </w:r>
    <w:r w:rsidR="005133F7">
      <w:rPr>
        <w:lang w:val="en-US"/>
      </w:rPr>
      <w:t>L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1D5B4BC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27D3"/>
    <w:multiLevelType w:val="hybridMultilevel"/>
    <w:tmpl w:val="0C16FE6A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892"/>
    <w:multiLevelType w:val="hybridMultilevel"/>
    <w:tmpl w:val="941A2CD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003A"/>
    <w:multiLevelType w:val="hybridMultilevel"/>
    <w:tmpl w:val="BCA20956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34B9A"/>
    <w:multiLevelType w:val="hybridMultilevel"/>
    <w:tmpl w:val="4FE67BE4"/>
    <w:lvl w:ilvl="0" w:tplc="351A8D9E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7" w15:restartNumberingAfterBreak="0">
    <w:nsid w:val="6798749C"/>
    <w:multiLevelType w:val="hybridMultilevel"/>
    <w:tmpl w:val="67B0473E"/>
    <w:lvl w:ilvl="0" w:tplc="87DED978">
      <w:start w:val="6"/>
      <w:numFmt w:val="lowerLetter"/>
      <w:lvlText w:val="(%1)"/>
      <w:lvlJc w:val="left"/>
      <w:pPr>
        <w:ind w:left="3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06" w:hanging="360"/>
      </w:pPr>
    </w:lvl>
    <w:lvl w:ilvl="2" w:tplc="0C09001B" w:tentative="1">
      <w:start w:val="1"/>
      <w:numFmt w:val="lowerRoman"/>
      <w:lvlText w:val="%3."/>
      <w:lvlJc w:val="right"/>
      <w:pPr>
        <w:ind w:left="1826" w:hanging="180"/>
      </w:pPr>
    </w:lvl>
    <w:lvl w:ilvl="3" w:tplc="0C09000F" w:tentative="1">
      <w:start w:val="1"/>
      <w:numFmt w:val="decimal"/>
      <w:lvlText w:val="%4."/>
      <w:lvlJc w:val="left"/>
      <w:pPr>
        <w:ind w:left="2546" w:hanging="360"/>
      </w:pPr>
    </w:lvl>
    <w:lvl w:ilvl="4" w:tplc="0C090019" w:tentative="1">
      <w:start w:val="1"/>
      <w:numFmt w:val="lowerLetter"/>
      <w:lvlText w:val="%5."/>
      <w:lvlJc w:val="left"/>
      <w:pPr>
        <w:ind w:left="3266" w:hanging="360"/>
      </w:pPr>
    </w:lvl>
    <w:lvl w:ilvl="5" w:tplc="0C09001B" w:tentative="1">
      <w:start w:val="1"/>
      <w:numFmt w:val="lowerRoman"/>
      <w:lvlText w:val="%6."/>
      <w:lvlJc w:val="right"/>
      <w:pPr>
        <w:ind w:left="3986" w:hanging="180"/>
      </w:pPr>
    </w:lvl>
    <w:lvl w:ilvl="6" w:tplc="0C09000F" w:tentative="1">
      <w:start w:val="1"/>
      <w:numFmt w:val="decimal"/>
      <w:lvlText w:val="%7."/>
      <w:lvlJc w:val="left"/>
      <w:pPr>
        <w:ind w:left="4706" w:hanging="360"/>
      </w:pPr>
    </w:lvl>
    <w:lvl w:ilvl="7" w:tplc="0C090019" w:tentative="1">
      <w:start w:val="1"/>
      <w:numFmt w:val="lowerLetter"/>
      <w:lvlText w:val="%8."/>
      <w:lvlJc w:val="left"/>
      <w:pPr>
        <w:ind w:left="5426" w:hanging="360"/>
      </w:pPr>
    </w:lvl>
    <w:lvl w:ilvl="8" w:tplc="0C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67F620A2"/>
    <w:multiLevelType w:val="hybridMultilevel"/>
    <w:tmpl w:val="18E0D144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B4EBB"/>
    <w:multiLevelType w:val="hybridMultilevel"/>
    <w:tmpl w:val="30628D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5753">
    <w:abstractNumId w:val="6"/>
  </w:num>
  <w:num w:numId="2" w16cid:durableId="2060586497">
    <w:abstractNumId w:val="9"/>
  </w:num>
  <w:num w:numId="3" w16cid:durableId="133760858">
    <w:abstractNumId w:val="4"/>
  </w:num>
  <w:num w:numId="4" w16cid:durableId="1948736286">
    <w:abstractNumId w:val="0"/>
  </w:num>
  <w:num w:numId="5" w16cid:durableId="298658065">
    <w:abstractNumId w:val="2"/>
  </w:num>
  <w:num w:numId="6" w16cid:durableId="51387854">
    <w:abstractNumId w:val="5"/>
  </w:num>
  <w:num w:numId="7" w16cid:durableId="1896114110">
    <w:abstractNumId w:val="8"/>
  </w:num>
  <w:num w:numId="8" w16cid:durableId="926888246">
    <w:abstractNumId w:val="10"/>
  </w:num>
  <w:num w:numId="9" w16cid:durableId="2130777557">
    <w:abstractNumId w:val="7"/>
  </w:num>
  <w:num w:numId="10" w16cid:durableId="1194996294">
    <w:abstractNumId w:val="1"/>
  </w:num>
  <w:num w:numId="11" w16cid:durableId="189041405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1C66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DE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46EA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4C9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1052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B5A26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2AD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3F7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23C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CC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3745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02F6"/>
    <w:rsid w:val="0080162A"/>
    <w:rsid w:val="00801DF9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10A"/>
    <w:rsid w:val="00865B2D"/>
    <w:rsid w:val="00866024"/>
    <w:rsid w:val="008665F8"/>
    <w:rsid w:val="0087040E"/>
    <w:rsid w:val="008709B6"/>
    <w:rsid w:val="008747BE"/>
    <w:rsid w:val="008750F9"/>
    <w:rsid w:val="00880B09"/>
    <w:rsid w:val="0088184C"/>
    <w:rsid w:val="00881B74"/>
    <w:rsid w:val="0088230A"/>
    <w:rsid w:val="008824B2"/>
    <w:rsid w:val="00883B97"/>
    <w:rsid w:val="00884459"/>
    <w:rsid w:val="0088670B"/>
    <w:rsid w:val="008873BD"/>
    <w:rsid w:val="00887601"/>
    <w:rsid w:val="00890903"/>
    <w:rsid w:val="00891571"/>
    <w:rsid w:val="008916CB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B04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65B0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657"/>
    <w:rsid w:val="00905A8A"/>
    <w:rsid w:val="00905C53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5A4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E7A4E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1CE8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D9A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50A4"/>
    <w:rsid w:val="00AA6ABF"/>
    <w:rsid w:val="00AA75E0"/>
    <w:rsid w:val="00AB0E36"/>
    <w:rsid w:val="00AB297C"/>
    <w:rsid w:val="00AB4D2B"/>
    <w:rsid w:val="00AB5939"/>
    <w:rsid w:val="00AB6E0B"/>
    <w:rsid w:val="00AC1526"/>
    <w:rsid w:val="00AC3264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C36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572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BDA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4B1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1A88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0C93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855"/>
    <w:rsid w:val="00EC6DA3"/>
    <w:rsid w:val="00ED28E1"/>
    <w:rsid w:val="00ED30B7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47BA4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6058"/>
    <w:rsid w:val="00F775BA"/>
    <w:rsid w:val="00F77DDC"/>
    <w:rsid w:val="00F8050E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C75F985-5FAA-4248-9CA2-17665DA87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101CL Search Warrant - Taxation Administration Act</dc:title>
  <dc:subject/>
  <dc:creator/>
  <cp:keywords>Forms; Special</cp:keywords>
  <dc:description/>
  <cp:lastModifiedBy/>
  <cp:revision>1</cp:revision>
  <dcterms:created xsi:type="dcterms:W3CDTF">2024-08-05T04:08:00Z</dcterms:created>
  <dcterms:modified xsi:type="dcterms:W3CDTF">2024-08-05T04:08:00Z</dcterms:modified>
</cp:coreProperties>
</file>